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0A2156">
      <w:pPr>
        <w:pStyle w:val="13"/>
      </w:pPr>
      <w:r>
        <w:t>承诺书</w:t>
      </w:r>
    </w:p>
    <w:p w14:paraId="21A9FDF5">
      <w:pPr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</w:pPr>
    </w:p>
    <w:p w14:paraId="38F58AE4">
      <w:pPr>
        <w:pStyle w:val="11"/>
      </w:pPr>
      <w:r>
        <w:t>致：江西省美术馆</w:t>
      </w:r>
    </w:p>
    <w:p w14:paraId="58318483">
      <w:pPr>
        <w:pStyle w:val="11"/>
      </w:pPr>
      <w:r>
        <w:t>本单位，江西省美术馆七氟丙烷及灭火器检测充装项目</w:t>
      </w:r>
    </w:p>
    <w:p w14:paraId="3A35A8E4">
      <w:pPr>
        <w:pStyle w:val="11"/>
      </w:pPr>
      <w:r>
        <w:t>询价比选事宜，郑重作出如下承诺：</w:t>
      </w:r>
    </w:p>
    <w:p w14:paraId="5126DC78">
      <w:pPr>
        <w:pStyle w:val="11"/>
      </w:pPr>
      <w:r>
        <w:t>本单位承诺在中选后，1. 合法合规： 我司严格遵守《中华人民共和国消防法》、《气瓶安全技术监察</w:t>
      </w:r>
      <w:bookmarkStart w:id="0" w:name="_GoBack"/>
      <w:bookmarkEnd w:id="0"/>
      <w:r>
        <w:t>规程》（TSG R0006）、《建筑灭火器配置验收及检查规范》（GB50444）及《气体灭火系统设计规范》（GB50370）等国家及行业相关法律法规、技术规范与标准.</w:t>
      </w:r>
    </w:p>
    <w:p w14:paraId="6CA0C7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3A068F95">
      <w:pPr>
        <w:pStyle w:val="2"/>
        <w:numPr>
          <w:ilvl w:val="0"/>
          <w:numId w:val="1"/>
        </w:numPr>
        <w:topLinePunct w:val="0"/>
        <w:ind w:left="0" w:leftChars="0" w:firstLine="0" w:firstLineChars="0"/>
        <w:rPr>
          <w:rFonts w:hint="eastAsia" w:ascii="黑体" w:hAnsi="黑体" w:eastAsia="黑体" w:cs="黑体"/>
          <w:b w:val="0"/>
          <w:bdr w:val="none" w:sz="0" w:space="0"/>
        </w:rPr>
      </w:pPr>
      <w:r>
        <w:t>材料与设备质量承诺</w:t>
      </w:r>
    </w:p>
    <w:p w14:paraId="0D0F83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3AB911D6">
      <w:pPr>
        <w:pStyle w:val="11"/>
        <w:numPr>
          <w:ilvl w:val="0"/>
          <w:numId w:val="2"/>
        </w:numPr>
        <w:ind w:left="0" w:leftChars="0" w:firstLine="480" w:firstLineChars="0"/>
        <w:rPr>
          <w:b w:val="0"/>
          <w:bdr w:val="none" w:sz="0" w:space="0"/>
        </w:rPr>
      </w:pPr>
      <w:r>
        <w:t>药剂纯正： 所充装的七氟丙烷（HFC-227ea）灭火剂100%为全新原装正品，来源清晰可查，并提供相关质量证明文件。药剂纯度、性能指标完全符合国家GB18614标准要求，确保灭火效率和安全环保。</w:t>
      </w:r>
    </w:p>
    <w:p w14:paraId="6F40D833">
      <w:pPr>
        <w:pStyle w:val="11"/>
        <w:numPr>
          <w:ilvl w:val="0"/>
          <w:numId w:val="2"/>
        </w:numPr>
        <w:ind w:left="0" w:leftChars="0" w:firstLine="480" w:firstLineChars="0"/>
        <w:rPr>
          <w:b w:val="0"/>
          <w:bdr w:val="none" w:sz="0" w:space="0"/>
        </w:rPr>
      </w:pPr>
      <w:r>
        <w:t>部件可靠： 所有更换的零部件、密封件、膜片等，均采用原厂或符合国家标准的优质产品，保证其兼容性、可靠性和耐久性。</w:t>
      </w:r>
    </w:p>
    <w:p w14:paraId="54E079F7">
      <w:pPr>
        <w:pStyle w:val="11"/>
        <w:numPr>
          <w:ilvl w:val="0"/>
          <w:numId w:val="2"/>
        </w:numPr>
        <w:ind w:left="0" w:leftChars="0" w:firstLine="480" w:firstLineChars="0"/>
        <w:rPr>
          <w:b w:val="0"/>
          <w:bdr w:val="none" w:sz="0" w:space="0"/>
        </w:rPr>
      </w:pPr>
      <w:r>
        <w:t>钢瓶安全： 对需要充装的灭火器钢瓶及七氟丙烷灭火系统储瓶，严格按照规定进行水压试验、气密性试验及外观检查，确保钢瓶本体安全合格，杜绝带病充装。</w:t>
      </w:r>
    </w:p>
    <w:p w14:paraId="4B7311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561AAEA8">
      <w:pPr>
        <w:pStyle w:val="2"/>
        <w:numPr>
          <w:ilvl w:val="0"/>
          <w:numId w:val="1"/>
        </w:numPr>
        <w:topLinePunct w:val="0"/>
        <w:ind w:left="0" w:leftChars="0" w:firstLine="0" w:firstLineChars="0"/>
        <w:rPr>
          <w:rFonts w:hint="eastAsia" w:ascii="黑体" w:hAnsi="黑体" w:eastAsia="黑体" w:cs="黑体"/>
          <w:b w:val="0"/>
          <w:bdr w:val="none" w:sz="0" w:space="0"/>
        </w:rPr>
      </w:pPr>
      <w:r>
        <w:t>工艺与流程承诺</w:t>
      </w:r>
    </w:p>
    <w:p w14:paraId="76188D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3C22D4C3">
      <w:pPr>
        <w:pStyle w:val="11"/>
        <w:numPr>
          <w:ilvl w:val="0"/>
          <w:numId w:val="3"/>
        </w:numPr>
        <w:ind w:left="0" w:leftChars="0" w:firstLine="480" w:firstLineChars="0"/>
        <w:rPr>
          <w:b w:val="0"/>
          <w:bdr w:val="none" w:sz="0" w:space="0"/>
        </w:rPr>
      </w:pPr>
      <w:r>
        <w:t>规范操作： 充装过程严格遵循标准作业程序。使用专用充装设备，精确控制充装压力、充装量，并确保系统密封性，防止泄漏。</w:t>
      </w:r>
    </w:p>
    <w:p w14:paraId="54317936">
      <w:pPr>
        <w:pStyle w:val="11"/>
        <w:numPr>
          <w:ilvl w:val="0"/>
          <w:numId w:val="3"/>
        </w:numPr>
        <w:ind w:left="0" w:leftChars="0" w:firstLine="480" w:firstLineChars="0"/>
        <w:rPr>
          <w:b w:val="0"/>
          <w:bdr w:val="none" w:sz="0" w:space="0"/>
        </w:rPr>
      </w:pPr>
      <w:r>
        <w:t>严格检漏： 充装完成后，对所有接口、阀门进行严格的泄漏检测，确保系统整体密封性能完好。</w:t>
      </w:r>
    </w:p>
    <w:p w14:paraId="785F9679">
      <w:pPr>
        <w:pStyle w:val="11"/>
        <w:numPr>
          <w:ilvl w:val="0"/>
          <w:numId w:val="3"/>
        </w:numPr>
        <w:ind w:left="0" w:leftChars="0" w:firstLine="480" w:firstLineChars="0"/>
        <w:rPr>
          <w:b w:val="0"/>
          <w:bdr w:val="none" w:sz="0" w:space="0"/>
        </w:rPr>
      </w:pPr>
      <w:r>
        <w:t>清洁处理： 在充装前，对灭火设备内部进行必要的清洁和干燥处理，防止杂质和水分影响药剂性能或损坏设备。</w:t>
      </w:r>
    </w:p>
    <w:p w14:paraId="68AC1F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6A347181">
      <w:pPr>
        <w:pStyle w:val="2"/>
        <w:numPr>
          <w:ilvl w:val="0"/>
          <w:numId w:val="1"/>
        </w:numPr>
        <w:topLinePunct w:val="0"/>
        <w:ind w:left="0" w:leftChars="0" w:firstLine="0" w:firstLineChars="0"/>
        <w:rPr>
          <w:rFonts w:hint="eastAsia" w:ascii="黑体" w:hAnsi="黑体" w:eastAsia="黑体" w:cs="黑体"/>
          <w:b w:val="0"/>
          <w:bdr w:val="none" w:sz="0" w:space="0"/>
        </w:rPr>
      </w:pPr>
      <w:r>
        <w:t>检验与验收承诺</w:t>
      </w:r>
    </w:p>
    <w:p w14:paraId="492648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387C6A04">
      <w:pPr>
        <w:pStyle w:val="11"/>
        <w:numPr>
          <w:ilvl w:val="0"/>
          <w:numId w:val="4"/>
        </w:numPr>
        <w:ind w:left="0" w:leftChars="0" w:firstLine="480" w:firstLineChars="0"/>
        <w:rPr>
          <w:b w:val="0"/>
          <w:bdr w:val="none" w:sz="0" w:space="0"/>
        </w:rPr>
      </w:pPr>
      <w:r>
        <w:t>逐具检验： 每一具经我司充装/维修的灭火器及七氟丙烷灭火系统，均经过严格的质量检验，确保其压力、重量、喷射性能等关键指标完全合格。</w:t>
      </w:r>
    </w:p>
    <w:p w14:paraId="6C14B816">
      <w:pPr>
        <w:pStyle w:val="11"/>
        <w:numPr>
          <w:ilvl w:val="0"/>
          <w:numId w:val="4"/>
        </w:numPr>
        <w:ind w:left="0" w:leftChars="0" w:firstLine="480" w:firstLineChars="0"/>
        <w:rPr>
          <w:b w:val="0"/>
          <w:bdr w:val="none" w:sz="0" w:space="0"/>
        </w:rPr>
      </w:pPr>
      <w:r>
        <w:t>标识清晰： 在检验合格的灭火设备上张贴包含充装日期、有效期限、操作人员、检验机构等信息的中文标识铭牌或维修合格证，方便贵单位识别与管理。</w:t>
      </w:r>
    </w:p>
    <w:p w14:paraId="606D0426">
      <w:pPr>
        <w:pStyle w:val="11"/>
        <w:numPr>
          <w:ilvl w:val="0"/>
          <w:numId w:val="4"/>
        </w:numPr>
        <w:ind w:left="0" w:leftChars="0" w:firstLine="480" w:firstLineChars="0"/>
        <w:rPr>
          <w:b w:val="0"/>
          <w:bdr w:val="none" w:sz="0" w:space="0"/>
        </w:rPr>
      </w:pPr>
      <w:r>
        <w:t>资料完备： 服务完成后，向贵单位提供完整的维修/充装记录、检验报告及合格证明，作为技术档案备查。</w:t>
      </w:r>
    </w:p>
    <w:p w14:paraId="28CC7393">
      <w:pPr>
        <w:pStyle w:val="11"/>
      </w:pPr>
      <w:r>
        <w:t>本单位保证上述承诺内容真实有效，若违反承诺，愿意承担由此产生的一切责任。</w:t>
      </w:r>
    </w:p>
    <w:p w14:paraId="4D3A02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69DE4159">
      <w:pPr>
        <w:rPr>
          <w:rFonts w:hint="eastAsia"/>
        </w:rPr>
      </w:pPr>
    </w:p>
    <w:p w14:paraId="47F33B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</w:rPr>
        <w:t>承诺单位（加盖公章）：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          </w:t>
      </w:r>
      <w:r>
        <w:rPr>
          <w:rFonts w:hint="eastAsia" w:ascii="Times New Roman" w:hAnsi="Times New Roman" w:eastAsia="宋体" w:cs="Times New Roman"/>
          <w:sz w:val="24"/>
          <w:szCs w:val="24"/>
        </w:rPr>
        <w:t>日期：___年___月__日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D79CA2E"/>
    <w:multiLevelType w:val="singleLevel"/>
    <w:tmpl w:val="9D79CA2E"/>
    <w:lvl w:ilvl="0" w:tentative="0">
      <w:start w:val="1"/>
      <w:numFmt w:val="decimal"/>
      <w:suff w:val="space"/>
      <w:lvlText w:val="%1."/>
      <w:lvlJc w:val="left"/>
      <w:pPr>
        <w:ind w:left="0" w:firstLine="480"/>
      </w:pPr>
      <w:rPr>
        <w:rFonts w:hint="default"/>
      </w:rPr>
    </w:lvl>
  </w:abstractNum>
  <w:abstractNum w:abstractNumId="1">
    <w:nsid w:val="FD7B4A3C"/>
    <w:multiLevelType w:val="singleLevel"/>
    <w:tmpl w:val="FD7B4A3C"/>
    <w:lvl w:ilvl="0" w:tentative="0">
      <w:start w:val="1"/>
      <w:numFmt w:val="decimal"/>
      <w:suff w:val="space"/>
      <w:lvlText w:val="%1."/>
      <w:lvlJc w:val="left"/>
      <w:pPr>
        <w:ind w:left="0" w:firstLine="480"/>
      </w:pPr>
      <w:rPr>
        <w:rFonts w:hint="default"/>
      </w:rPr>
    </w:lvl>
  </w:abstractNum>
  <w:abstractNum w:abstractNumId="2">
    <w:nsid w:val="4CC07F0F"/>
    <w:multiLevelType w:val="singleLevel"/>
    <w:tmpl w:val="4CC07F0F"/>
    <w:lvl w:ilvl="0" w:tentative="0">
      <w:start w:val="1"/>
      <w:numFmt w:val="decimal"/>
      <w:suff w:val="space"/>
      <w:lvlText w:val="%1."/>
      <w:lvlJc w:val="left"/>
      <w:pPr>
        <w:ind w:left="0" w:firstLine="480"/>
      </w:pPr>
      <w:rPr>
        <w:rFonts w:hint="default"/>
      </w:rPr>
    </w:lvl>
  </w:abstractNum>
  <w:abstractNum w:abstractNumId="3">
    <w:nsid w:val="6CB56B0D"/>
    <w:multiLevelType w:val="singleLevel"/>
    <w:tmpl w:val="6CB56B0D"/>
    <w:lvl w:ilvl="0" w:tentative="0">
      <w:start w:val="2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595986"/>
    <w:rsid w:val="08EE4F7D"/>
    <w:rsid w:val="0FA77648"/>
    <w:rsid w:val="0FC051B3"/>
    <w:rsid w:val="11AA3420"/>
    <w:rsid w:val="18F953B8"/>
    <w:rsid w:val="1B3B19B9"/>
    <w:rsid w:val="306153F0"/>
    <w:rsid w:val="307F080B"/>
    <w:rsid w:val="38BB18EB"/>
    <w:rsid w:val="3B9A7EDD"/>
    <w:rsid w:val="3F770324"/>
    <w:rsid w:val="4838131C"/>
    <w:rsid w:val="50F419E6"/>
    <w:rsid w:val="5CC03A98"/>
    <w:rsid w:val="60BA67A8"/>
    <w:rsid w:val="73595986"/>
    <w:rsid w:val="7C513185"/>
    <w:rsid w:val="7D075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next w:val="1"/>
    <w:qFormat/>
    <w:uiPriority w:val="0"/>
    <w:pPr>
      <w:widowControl w:val="0"/>
      <w:adjustRightInd w:val="0"/>
      <w:spacing w:before="320" w:line="300" w:lineRule="auto"/>
      <w:jc w:val="both"/>
      <w:outlineLvl w:val="0"/>
    </w:pPr>
    <w:rPr>
      <w:rFonts w:ascii="Times New Roman" w:hAnsi="Times New Roman" w:eastAsia="黑体" w:cs="Times New Roman"/>
      <w:color w:val="000000"/>
      <w:kern w:val="44"/>
      <w:sz w:val="32"/>
      <w:szCs w:val="44"/>
      <w:lang w:bidi="ar-SA"/>
    </w:rPr>
  </w:style>
  <w:style w:type="paragraph" w:styleId="3">
    <w:name w:val="heading 2"/>
    <w:next w:val="1"/>
    <w:semiHidden/>
    <w:unhideWhenUsed/>
    <w:qFormat/>
    <w:uiPriority w:val="0"/>
    <w:pPr>
      <w:widowControl w:val="0"/>
      <w:adjustRightInd w:val="0"/>
      <w:spacing w:before="280" w:line="300" w:lineRule="auto"/>
      <w:jc w:val="both"/>
      <w:outlineLvl w:val="1"/>
    </w:pPr>
    <w:rPr>
      <w:rFonts w:ascii="Times New Roman" w:hAnsi="Times New Roman" w:eastAsia="黑体" w:cs="Times New Roman"/>
      <w:kern w:val="2"/>
      <w:sz w:val="30"/>
      <w:szCs w:val="32"/>
      <w:lang w:bidi="ar-SA"/>
    </w:rPr>
  </w:style>
  <w:style w:type="paragraph" w:styleId="4">
    <w:name w:val="heading 3"/>
    <w:next w:val="1"/>
    <w:semiHidden/>
    <w:unhideWhenUsed/>
    <w:qFormat/>
    <w:uiPriority w:val="0"/>
    <w:pPr>
      <w:keepNext/>
      <w:keepLines/>
      <w:widowControl w:val="0"/>
      <w:adjustRightInd w:val="0"/>
      <w:spacing w:before="240" w:line="300" w:lineRule="auto"/>
      <w:jc w:val="both"/>
      <w:outlineLvl w:val="2"/>
    </w:pPr>
    <w:rPr>
      <w:rFonts w:ascii="Times New Roman" w:hAnsi="Times New Roman" w:eastAsia="黑体" w:cs="Times New Roman"/>
      <w:kern w:val="2"/>
      <w:sz w:val="30"/>
      <w:szCs w:val="24"/>
      <w:lang w:bidi="ar-SA"/>
    </w:rPr>
  </w:style>
  <w:style w:type="paragraph" w:styleId="5">
    <w:name w:val="heading 4"/>
    <w:next w:val="1"/>
    <w:semiHidden/>
    <w:unhideWhenUsed/>
    <w:qFormat/>
    <w:uiPriority w:val="0"/>
    <w:pPr>
      <w:keepNext/>
      <w:keepLines/>
      <w:widowControl w:val="0"/>
      <w:adjustRightInd w:val="0"/>
      <w:spacing w:before="200" w:line="300" w:lineRule="auto"/>
      <w:jc w:val="both"/>
      <w:outlineLvl w:val="3"/>
    </w:pPr>
    <w:rPr>
      <w:rFonts w:ascii="Times New Roman" w:hAnsi="Times New Roman" w:eastAsia="黑体" w:cs="Times New Roman"/>
      <w:bCs/>
      <w:kern w:val="2"/>
      <w:sz w:val="28"/>
      <w:szCs w:val="28"/>
      <w:lang w:bidi="ar-SA"/>
    </w:rPr>
  </w:style>
  <w:style w:type="paragraph" w:styleId="6">
    <w:name w:val="heading 5"/>
    <w:next w:val="1"/>
    <w:semiHidden/>
    <w:unhideWhenUsed/>
    <w:qFormat/>
    <w:uiPriority w:val="0"/>
    <w:pPr>
      <w:keepNext/>
      <w:keepLines/>
      <w:widowControl w:val="0"/>
      <w:adjustRightInd w:val="0"/>
      <w:spacing w:before="160" w:line="300" w:lineRule="auto"/>
      <w:jc w:val="both"/>
      <w:outlineLvl w:val="4"/>
    </w:pPr>
    <w:rPr>
      <w:rFonts w:ascii="Times New Roman" w:hAnsi="Times New Roman" w:eastAsia="黑体" w:cs="Times New Roman"/>
      <w:bCs/>
      <w:kern w:val="2"/>
      <w:sz w:val="28"/>
      <w:szCs w:val="28"/>
      <w:lang w:bidi="ar-SA"/>
    </w:rPr>
  </w:style>
  <w:style w:type="paragraph" w:styleId="7">
    <w:name w:val="heading 6"/>
    <w:next w:val="1"/>
    <w:semiHidden/>
    <w:unhideWhenUsed/>
    <w:qFormat/>
    <w:uiPriority w:val="0"/>
    <w:pPr>
      <w:keepNext/>
      <w:keepLines/>
      <w:widowControl w:val="0"/>
      <w:adjustRightInd w:val="0"/>
      <w:spacing w:before="120" w:line="300" w:lineRule="auto"/>
      <w:jc w:val="both"/>
      <w:outlineLvl w:val="5"/>
    </w:pPr>
    <w:rPr>
      <w:rFonts w:ascii="Times New Roman" w:hAnsi="Times New Roman" w:eastAsia="黑体" w:cs="Times New Roman"/>
      <w:bCs/>
      <w:kern w:val="2"/>
      <w:sz w:val="28"/>
      <w:szCs w:val="24"/>
      <w:lang w:bidi="ar-SA"/>
    </w:rPr>
  </w:style>
  <w:style w:type="paragraph" w:styleId="8">
    <w:name w:val="heading 7"/>
    <w:next w:val="1"/>
    <w:semiHidden/>
    <w:unhideWhenUsed/>
    <w:qFormat/>
    <w:uiPriority w:val="0"/>
    <w:pPr>
      <w:keepNext/>
      <w:keepLines/>
      <w:widowControl w:val="0"/>
      <w:adjustRightInd w:val="0"/>
      <w:spacing w:before="120" w:line="300" w:lineRule="auto"/>
      <w:jc w:val="both"/>
      <w:outlineLvl w:val="6"/>
    </w:pPr>
    <w:rPr>
      <w:rFonts w:ascii="Times New Roman" w:hAnsi="Times New Roman" w:eastAsia="黑体" w:cs="Times New Roman"/>
      <w:bCs/>
      <w:kern w:val="2"/>
      <w:sz w:val="24"/>
      <w:szCs w:val="24"/>
      <w:lang w:bidi="ar-SA"/>
    </w:rPr>
  </w:style>
  <w:style w:type="paragraph" w:styleId="9">
    <w:name w:val="heading 8"/>
    <w:next w:val="1"/>
    <w:semiHidden/>
    <w:unhideWhenUsed/>
    <w:qFormat/>
    <w:uiPriority w:val="0"/>
    <w:pPr>
      <w:keepNext/>
      <w:keepLines/>
      <w:widowControl w:val="0"/>
      <w:adjustRightInd w:val="0"/>
      <w:spacing w:before="120" w:line="300" w:lineRule="auto"/>
      <w:jc w:val="both"/>
      <w:outlineLvl w:val="7"/>
    </w:pPr>
    <w:rPr>
      <w:rFonts w:ascii="Times New Roman" w:hAnsi="Times New Roman" w:eastAsia="黑体" w:cs="Times New Roman"/>
      <w:kern w:val="2"/>
      <w:sz w:val="24"/>
      <w:szCs w:val="24"/>
      <w:lang w:bidi="ar-SA"/>
    </w:rPr>
  </w:style>
  <w:style w:type="paragraph" w:styleId="10">
    <w:name w:val="heading 9"/>
    <w:next w:val="1"/>
    <w:semiHidden/>
    <w:unhideWhenUsed/>
    <w:qFormat/>
    <w:uiPriority w:val="0"/>
    <w:pPr>
      <w:keepNext/>
      <w:keepLines/>
      <w:widowControl w:val="0"/>
      <w:adjustRightInd w:val="0"/>
      <w:spacing w:before="120" w:line="300" w:lineRule="auto"/>
      <w:jc w:val="both"/>
      <w:outlineLvl w:val="8"/>
    </w:pPr>
    <w:rPr>
      <w:rFonts w:ascii="Times New Roman" w:hAnsi="Times New Roman" w:eastAsia="黑体" w:cs="Times New Roman"/>
      <w:kern w:val="2"/>
      <w:sz w:val="21"/>
      <w:szCs w:val="21"/>
      <w:lang w:bidi="ar-SA"/>
    </w:rPr>
  </w:style>
  <w:style w:type="character" w:default="1" w:styleId="15">
    <w:name w:val="Default Paragraph Font"/>
    <w:semiHidden/>
    <w:qFormat/>
    <w:uiPriority w:val="0"/>
  </w:style>
  <w:style w:type="table" w:default="1" w:styleId="1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Body Text"/>
    <w:uiPriority w:val="0"/>
    <w:pPr>
      <w:widowControl w:val="0"/>
      <w:adjustRightInd w:val="0"/>
      <w:spacing w:before="100" w:after="100" w:afterLines="0" w:afterAutospacing="0" w:line="300" w:lineRule="auto"/>
      <w:ind w:firstLine="1044" w:firstLineChars="200"/>
      <w:jc w:val="both"/>
    </w:pPr>
    <w:rPr>
      <w:rFonts w:ascii="Times New Roman" w:hAnsi="Times New Roman" w:eastAsia="宋体" w:cs="Times New Roman"/>
      <w:kern w:val="2"/>
      <w:sz w:val="24"/>
      <w:szCs w:val="24"/>
      <w:lang w:bidi="ar-SA"/>
    </w:rPr>
  </w:style>
  <w:style w:type="paragraph" w:styleId="12">
    <w:name w:val="Subtitle"/>
    <w:qFormat/>
    <w:uiPriority w:val="0"/>
    <w:pPr>
      <w:widowControl w:val="0"/>
      <w:adjustRightInd w:val="0"/>
      <w:spacing w:before="100" w:after="100" w:line="240" w:lineRule="auto"/>
      <w:jc w:val="center"/>
      <w:outlineLvl w:val="9"/>
    </w:pPr>
    <w:rPr>
      <w:rFonts w:ascii="Times New Roman" w:hAnsi="Times New Roman" w:eastAsia="黑体" w:cs="Times New Roman"/>
      <w:kern w:val="28"/>
      <w:sz w:val="32"/>
      <w:szCs w:val="24"/>
      <w:lang w:bidi="ar-SA"/>
    </w:rPr>
  </w:style>
  <w:style w:type="paragraph" w:styleId="13">
    <w:name w:val="Title"/>
    <w:qFormat/>
    <w:uiPriority w:val="0"/>
    <w:pPr>
      <w:widowControl w:val="0"/>
      <w:adjustRightInd w:val="0"/>
      <w:spacing w:before="100" w:beforeAutospacing="0" w:after="100" w:afterAutospacing="0" w:line="240" w:lineRule="auto"/>
      <w:jc w:val="center"/>
      <w:outlineLvl w:val="9"/>
    </w:pPr>
    <w:rPr>
      <w:rFonts w:ascii="Times New Roman" w:hAnsi="Times New Roman" w:eastAsia="黑体" w:cs="Times New Roman"/>
      <w:kern w:val="2"/>
      <w:sz w:val="36"/>
      <w:szCs w:val="24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324</Words>
  <Characters>329</Characters>
  <Lines>0</Lines>
  <Paragraphs>0</Paragraphs>
  <TotalTime>2</TotalTime>
  <ScaleCrop>false</ScaleCrop>
  <LinksUpToDate>false</LinksUpToDate>
  <CharactersWithSpaces>339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2025-10-23T07:53:00Z</dcterms:created>
  <dc:creator>问薪无愧</dc:creator>
  <cp:lastModifiedBy>小榴芒</cp:lastModifiedBy>
  <cp:lastPrinted>2025-10-23T08:42:00Z</cp:lastPrinted>
  <dcterms:modified xsi:type="dcterms:W3CDTF">2025-11-14T09:15:35Z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D461BF70718D414583374C08B6249C29_13</vt:lpwstr>
  </property>
  <property fmtid="{D5CDD505-2E9C-101B-9397-08002B2CF9AE}" pid="4" name="KSOTemplateDocerSaveRecord">
    <vt:lpwstr>eyJoZGlkIjoiNTFkZGY1Y2UwZWMzNmEwMjJhNGEyM2ZiYmE3NWM4YzMiLCJ1c2VySWQiOiI5MzE4Nzk1NTkifQ==</vt:lpwstr>
  </property>
</Properties>
</file>